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072226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072226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072226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072226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072226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072226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общеобразовательное учреждение "Средняя школа № 74 имени Ю.А. Гагарина"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21721241</w:t>
            </w:r>
          </w:p>
        </w:tc>
      </w:tr>
      <w:tr w:rsidR="00072226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  <w:jc w:val="center"/>
            </w:pPr>
          </w:p>
        </w:tc>
      </w:tr>
      <w:tr w:rsidR="00072226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072226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  <w:jc w:val="center"/>
            </w:pPr>
          </w:p>
        </w:tc>
      </w:tr>
      <w:tr w:rsidR="00072226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072226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072226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  <w:jc w:val="center"/>
            </w:pPr>
          </w:p>
        </w:tc>
      </w:tr>
      <w:tr w:rsidR="00072226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072226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072226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2226" w:rsidRDefault="00072226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072226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072226">
                  <w:pPr>
                    <w:spacing w:line="1" w:lineRule="auto"/>
                  </w:pPr>
                </w:p>
              </w:tc>
            </w:tr>
          </w:tbl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Полное наименование: муниципальное общеобразовательное учреждение «Средняя школа № 74 имени Ю.А. Гагарина». Сокращенное наименование: средняя школа № 74. Организационно-правовая форма: муниципальное бюджетное учреждение. Юридический почтовый адрес и адрес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местонахождения: 150054, г. Ярославль ул. Тургенева, д.14. Учреждение действует на основании Устава, утвержденного приказом департамента образования мэрии города Ярославля от 02.11.2015 г. № 01-05/864 и Учетной политики учреждения утвержденной приказом от </w:t>
                  </w:r>
                  <w:r>
                    <w:rPr>
                      <w:color w:val="000000"/>
                      <w:sz w:val="28"/>
                      <w:szCs w:val="28"/>
                    </w:rPr>
                    <w:t>20.01.2021 №01-03/4а. В соответствии с Федеральным законом от 29.12.2012 года № 273-ФЗ "Об образовании в Российской Федерации" учреждение относится к типу образовательной организации. В соответствии с Федеральным законом от 12.01.1996 года № 7-ФЗ "О некомм</w:t>
                  </w:r>
                  <w:r>
                    <w:rPr>
                      <w:color w:val="000000"/>
                      <w:sz w:val="28"/>
                      <w:szCs w:val="28"/>
                    </w:rPr>
                    <w:t>ерческих организациях" школа относится к типу бюджетного учреждения. Учредителем и собственником имущества является городской округ Ярославль. Функции и полномочия учредителя школы от имени города Ярославля осуществляют: департамент образования мэрии город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 Ярославля, мэрия города Ярославля в части принятия решений о создании, изменении типа и ликвидации учреждения. Комитет по управлению муниципальным имуществом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мэрии города Ярославля в части управления, использования и распоряжения муниципальным имуществом</w:t>
                  </w:r>
                  <w:r>
                    <w:rPr>
                      <w:color w:val="000000"/>
                      <w:sz w:val="28"/>
                      <w:szCs w:val="28"/>
                    </w:rPr>
                    <w:t>. Средняя школа № 74 является юридическим лицом, самостоятельно осуществляет финансово-хозяйственную деятельность, имеет самостоятельный баланс, лицевые счета, обладает обособленным имуществом, которое самостоятельно закрепляется за ним на праве оперативно</w:t>
                  </w:r>
                  <w:r>
                    <w:rPr>
                      <w:color w:val="000000"/>
                      <w:sz w:val="28"/>
                      <w:szCs w:val="28"/>
                    </w:rPr>
                    <w:t>го управления. 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в департаменте финансов мэрии города Ярославля. Номера лицевых счетов: 803.03.036.5 для учет</w:t>
                  </w:r>
                  <w:r>
                    <w:rPr>
                      <w:color w:val="000000"/>
                      <w:sz w:val="28"/>
                      <w:szCs w:val="28"/>
                    </w:rPr>
                    <w:t>а операций со средствами бюджетного учреждения; 803.03.036.6 для учета операций со средствами, предоставленными бюджетному учреждению в виде субсидий на иные цели;  803.03.036.3 учета операций со средствами, поступающими во временное распоряжение. Бухгалте</w:t>
                  </w:r>
                  <w:r>
                    <w:rPr>
                      <w:color w:val="000000"/>
                      <w:sz w:val="28"/>
                      <w:szCs w:val="28"/>
                    </w:rPr>
                    <w:t>рский учет ведется бухгалтерией учреждения. Учреждение имеет право от своего имени заключать договоры, быть истцом и ответчиком в суде. В отчетном году учреждение не начинало вести новые виды деятельности, а также не прекращало прежние виды деятельности.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связи с этим в составе Пояснительной записки к балансу учреждения таблица №1 не предоставляется.</w:t>
                  </w:r>
                </w:p>
              </w:tc>
            </w:tr>
          </w:tbl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штатном расписании учреждения утвержденного приказом от 01.09.2022 №01-01/184 утверждено количество штатных единиц: 119,89 из них 84,78 ставки  по должности учитель, 1526 часа для ведения педагогической деятельности.  Оснащение кабинетов мебелью, компьют</w:t>
                  </w:r>
                  <w:r>
                    <w:rPr>
                      <w:color w:val="000000"/>
                      <w:sz w:val="28"/>
                      <w:szCs w:val="28"/>
                    </w:rPr>
                    <w:t>ерами, интерактивными досками, мультимедийным оборудованием составляет не менее – 90 %.  Средняя заработная плата по учреждению в 2022 году по сравнению с 2021 годом увеличилась на 25 процентов и составила 53 064,71 руб. В том числе средняя заработная плат</w:t>
                  </w:r>
                  <w:r>
                    <w:rPr>
                      <w:color w:val="000000"/>
                      <w:sz w:val="28"/>
                      <w:szCs w:val="28"/>
                    </w:rPr>
                    <w:t>а педагогического персонала составила 55 839,24 руб. Обеспечен выход в интернет обучающимся и педагогам. Работники учреждения совершенствуют и обновляют свои профессиональные знания, а также регулярно повышали свою квалификацию. В 2022 году прошли обучение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учебном комбинате НОУ ДПО УМЦ "Защита", а также в МАУ "Институт развития стратегических инициатив"- 7 человек, в т. ч. директор и заместитель директора по административно-хозяйственной работе - 2 человека. Ежегодно проводятся медицинские осмотры сотрудн</w:t>
                  </w:r>
                  <w:r>
                    <w:rPr>
                      <w:color w:val="000000"/>
                      <w:sz w:val="28"/>
                      <w:szCs w:val="28"/>
                    </w:rPr>
                    <w:t>иков учреждения. Средняя школа № 74 имеет сайт в сети Интернет, который поддерживается в актуальном состоянии. Лимиты потребления теплоэнергоресурсов соблюдаются. Перерасхода нет.</w:t>
                  </w:r>
                </w:p>
              </w:tc>
            </w:tr>
          </w:tbl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</w:t>
            </w:r>
            <w:r>
              <w:rPr>
                <w:b/>
                <w:bCs/>
                <w:color w:val="000000"/>
                <w:sz w:val="28"/>
                <w:szCs w:val="28"/>
              </w:rPr>
              <w:t>сти»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2022 год учреждение выполнило муниципальное задание на 100 процентов 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плановых показателей.  В 2022 году учреждение не получало субсидии на капитальные вложения, в связи с чем в составе пояснительной записки не представляется форма «Сведения об </w:t>
                  </w:r>
                  <w:r>
                    <w:rPr>
                      <w:color w:val="000000"/>
                      <w:sz w:val="28"/>
                      <w:szCs w:val="28"/>
                    </w:rPr>
                    <w:t>исполнении плана финансово хозяйственной деятельности» (ф.0503766) по КФО 6.  Субсидия на иные цели (КФО 5) в размере 9 290 395,61 рублей направлена на расходы по обеспечению питанием обучающихся, а также организацию бесплатного питания (в части средств го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бюджета), бесплатного горячего питания обучающихся в общеобразовательных и муниципальных общеобразовательных организациях, на текущий ремонт зданий и сооружений, расходы на реализацию мероприятий инициативного бюджетирования, расходы на оплату сто</w:t>
                  </w:r>
                  <w:r>
                    <w:rPr>
                      <w:color w:val="000000"/>
                      <w:sz w:val="28"/>
                      <w:szCs w:val="28"/>
                    </w:rPr>
                    <w:t>имости набора продуктов питания в лагерях с дневной формой пребывания детей, расходы на организацию лагерей с дневной формой пребывания детей, расходы на ежемесячное денежное вознаграждение за классное руководство педагогическим работникам муниципальных об</w:t>
                  </w:r>
                  <w:r>
                    <w:rPr>
                      <w:color w:val="000000"/>
                      <w:sz w:val="28"/>
                      <w:szCs w:val="28"/>
                    </w:rPr>
                    <w:t>разовательных организаций и т.д. </w:t>
                  </w:r>
                </w:p>
              </w:tc>
            </w:tr>
          </w:tbl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01.01.2023 года в учреждении просроченной кредиторской задолженности нет. Долгосрочной задолженности нет. По состоянию на 01.01.2023 года  числиться текущая кредиторская задолженность по КФО «4» 2 690 323.94 рублей, в том числе КОСГУ 211 1 </w:t>
                  </w:r>
                  <w:r>
                    <w:rPr>
                      <w:color w:val="000000"/>
                      <w:sz w:val="28"/>
                      <w:szCs w:val="28"/>
                    </w:rPr>
                    <w:t>411 998.97 рублей; КОСГУ 213 854 434.97 рублей; по КФО «2» 16 370.65 рублей, в том числе КОСГУ 211 12 573.46 рублей; КОСГУ 3 797.19 рублей. По состоянию на 01.01.2023 года числятся остатки на лицевых счетах учреждения в том числе: по КФО 2 в сумме 19 124,1</w:t>
                  </w:r>
                  <w:r>
                    <w:rPr>
                      <w:color w:val="000000"/>
                      <w:sz w:val="28"/>
                      <w:szCs w:val="28"/>
                    </w:rPr>
                    <w:t>6 рублей родительская плата за питание обучающихся предоплата; по КФО 3 в сумме 12 905,41 из них  обеспечение исполнения контракта с ООО «ТЭС» в сумме 11 914,46 и обеспечение гарантийных обязательств по контракту на замену оконных блоков с ИП Иродовский Ал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ександр Леонидович в сумме 990,95; по КФО 5 в сумме 533 778,91 рублей – это сумма неиспользованного остатка целевых субсидий текущего характера, будет возвращена. Недостач и хищений имущества в отчетном периоде не было. Незавершенных объектов капитального </w:t>
                  </w:r>
                  <w:r>
                    <w:rPr>
                      <w:color w:val="000000"/>
                      <w:sz w:val="28"/>
                      <w:szCs w:val="28"/>
                    </w:rPr>
                    <w:t>строительства, а также вложений в объекты недвижимого имущества за 2022 год нет, в связи с чем Сведения о вложениях в объекты недвижимого имущества, объектах незавершенного строительства бюджетного учреждения (ф. 0503790) не представляются. Обязательств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судебным решениям и исполнительным документам на 01.01.2023 года нет. Обязательства по судебным решениям и исполнительным документам которые возникли на 01.01.2022 года были исполнены в течение 2022 года. В 2022 году учреждение безвозмездно получило по до</w:t>
                  </w:r>
                  <w:r>
                    <w:rPr>
                      <w:color w:val="000000"/>
                      <w:sz w:val="28"/>
                      <w:szCs w:val="28"/>
                    </w:rPr>
                    <w:t>говорам добровольного пожертвования от родителей основные средства в сумме 104 622,00 рубля в том числе: стол теннисный 28 000,00 рублей; ноутбук 29 000,00 рублей; принтер 12 000,00 рублей; снегоуборщик 35 622,00 рубля. Была проведена корректировка расчето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 учредителем: в части движения с особо ценного недвижимого имущества на движимое имущество на основании бухгалтерской справки от 10.01.2022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№00000004 (составленная предыдущим главным бухгалтером Ухановой М.Е. уволившейся 14.10.2022)  а именно: ограждени</w:t>
                  </w:r>
                  <w:r>
                    <w:rPr>
                      <w:color w:val="000000"/>
                      <w:sz w:val="28"/>
                      <w:szCs w:val="28"/>
                    </w:rPr>
                    <w:t>е 372 950,54 рублей; Асфальтовое покрытие 752 368,44 рублей; Мини-поле 2 637 020,03 рублей. ИТОГ: 3 762 339,01. Также была произведена корректировка расчетов с учредителем на сумму 331 933,60 рублей, был снос гаража на основании приказа КУМИ и акта о списа</w:t>
                  </w:r>
                  <w:r>
                    <w:rPr>
                      <w:color w:val="000000"/>
                      <w:sz w:val="28"/>
                      <w:szCs w:val="28"/>
                    </w:rPr>
                    <w:t>нии гаража от 25.05.2022 года. В результате уменьшения кадастровой стоимости земли согласно приказа департамента имущественных и земельных отношений Ярославской области также была произведена корректировка расчетов с учредителем на сумму 5 781 666,58 рубле</w:t>
                  </w:r>
                  <w:r>
                    <w:rPr>
                      <w:color w:val="000000"/>
                      <w:sz w:val="28"/>
                      <w:szCs w:val="28"/>
                    </w:rPr>
                    <w:t>й. Сформирован резерв на оплату отпусков сотрудникам учреждения: КОСГУ 211 – 1 212 206,83; КОСГУ 213 – 366 086,46. Было изменение валюты баланса 2022 года, на суммы плановых назначений по субсидиям на 2023, 2024 год по иным целям, в связи с тем, что предыд</w:t>
                  </w:r>
                  <w:r>
                    <w:rPr>
                      <w:color w:val="000000"/>
                      <w:sz w:val="28"/>
                      <w:szCs w:val="28"/>
                    </w:rPr>
                    <w:t>ущим главным бухгалтером (Ухановой М.Е. уволившейся 14.10.2022г) не были осуществлены проводки на конец года по счетам 205.52 и 401.49.</w:t>
                  </w:r>
                </w:p>
              </w:tc>
            </w:tr>
          </w:tbl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Бухгалтерская отчетность составлена в соответствии с Инструкцией о порядке составления и предоставления годовой, квартальной и месячной бюджетной отчетности, утвержденной приказом Министерства финансов РФ от 25.03.2011 г. № 33н. Перед составлением годовой </w:t>
                  </w:r>
                  <w:r>
                    <w:rPr>
                      <w:color w:val="000000"/>
                      <w:sz w:val="28"/>
                      <w:szCs w:val="28"/>
                    </w:rPr>
                    <w:t>отчетности в конце 2022 года была произведена инвентаризация имущества, расчетов согласно приказа № 01-03/Б/н от 07.11.2022 г. Расхождений с данными бухгалтерского учета не выявлено.</w:t>
                  </w:r>
                </w:p>
                <w:p w:rsidR="00072226" w:rsidRDefault="00B17DD4">
                  <w:pPr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Перечень предоставленных пустых форм бухгалтерской отчетности, в связи </w:t>
                  </w:r>
                  <w:r>
                    <w:rPr>
                      <w:color w:val="000000"/>
                      <w:sz w:val="28"/>
                      <w:szCs w:val="28"/>
                    </w:rPr>
                    <w:t>с отсутствием в них информации:</w:t>
                  </w:r>
                </w:p>
                <w:p w:rsidR="00072226" w:rsidRDefault="00B17DD4">
                  <w:pPr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>1. Форма № 725 (2,4,5,6,7)</w:t>
                  </w:r>
                </w:p>
                <w:p w:rsidR="00072226" w:rsidRDefault="00B17DD4">
                  <w:pPr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>2. Форма № 737 (6,7),738 (6,7),766 (6),768 (6,7),769 (6,7),779 (4,6,7)</w:t>
                  </w:r>
                </w:p>
                <w:p w:rsidR="00072226" w:rsidRDefault="00B17DD4">
                  <w:pPr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>3. Форма № 771, 772, 790</w:t>
                  </w:r>
                </w:p>
                <w:p w:rsidR="00072226" w:rsidRDefault="00B17DD4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4. Форма № 773 (2,3,5,6,7)</w:t>
                  </w:r>
                </w:p>
              </w:tc>
            </w:tr>
          </w:tbl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72226" w:rsidRDefault="00072226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072226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072226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072226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С.Б. Чернецова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072226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226" w:rsidRDefault="00B17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72226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072226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2226" w:rsidRDefault="00B17DD4">
                        <w:r>
                          <w:rPr>
                            <w:color w:val="000000"/>
                          </w:rPr>
                          <w:t>Сертификат: 00D0AF6EBB88380C0B15DF092C6F9846CB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Владелец: Чернецова Светлана Борисовна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Действителен с 20.01.2023 по 14.04.2024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72226" w:rsidRDefault="00072226">
                  <w:pPr>
                    <w:spacing w:line="1" w:lineRule="auto"/>
                  </w:pP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072226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Главный бухгалтер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072226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С.В. Таточенко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072226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226" w:rsidRDefault="00B17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72226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072226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2226" w:rsidRDefault="00B17DD4">
                        <w:r>
                          <w:rPr>
                            <w:color w:val="000000"/>
                          </w:rPr>
                          <w:t>Сертификат: 7F8725050103972F04D4B3DB03397243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Владелец: Таточенко Светлана Валерьевна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Действителен с 02.11.2022 по 26.01.2024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72226" w:rsidRDefault="00072226">
                  <w:pPr>
                    <w:spacing w:line="1" w:lineRule="auto"/>
                  </w:pP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072226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072226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С.В. Таточенко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072226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226" w:rsidRDefault="00B17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72226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072226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2226" w:rsidRDefault="00B17DD4">
                        <w:r>
                          <w:rPr>
                            <w:color w:val="000000"/>
                          </w:rPr>
                          <w:t>Сертификат: 7F8725050103972F04D4B3DB03397243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Владелец: Таточенко Светлана Валерьевна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Действителен с 02.11.2022 по 26.01.2024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72226" w:rsidRDefault="00072226">
                  <w:pPr>
                    <w:spacing w:line="1" w:lineRule="auto"/>
                  </w:pP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</w:tr>
    </w:tbl>
    <w:p w:rsidR="00072226" w:rsidRDefault="00072226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072226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2226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2226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2226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</w:tr>
    </w:tbl>
    <w:p w:rsidR="00072226" w:rsidRDefault="00072226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072226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072226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072226">
                  <w:pPr>
                    <w:spacing w:line="1" w:lineRule="auto"/>
                    <w:jc w:val="center"/>
                  </w:pP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07222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</w:tr>
      <w:tr w:rsidR="00072226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072226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С.В. Таточенко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072226">
        <w:tc>
          <w:tcPr>
            <w:tcW w:w="7215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072226">
              <w:trPr>
                <w:trHeight w:val="230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226" w:rsidRDefault="00B17D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72226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072226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2226" w:rsidRDefault="00B17DD4">
                        <w:r>
                          <w:rPr>
                            <w:color w:val="000000"/>
                          </w:rPr>
                          <w:t>Сертификат: 7F8725050103972F04D4B3DB03397243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Владелец: Таточенко Светлана Валерьевна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Действителен с 02.11.2022 по 26.01.2024</w:t>
                        </w:r>
                      </w:p>
                      <w:p w:rsidR="00072226" w:rsidRDefault="00B17DD4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72226" w:rsidRDefault="00072226">
                  <w:pPr>
                    <w:spacing w:line="1" w:lineRule="auto"/>
                  </w:pP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c>
          <w:tcPr>
            <w:tcW w:w="7215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222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072226">
            <w:pPr>
              <w:spacing w:line="1" w:lineRule="auto"/>
              <w:jc w:val="center"/>
            </w:pPr>
          </w:p>
        </w:tc>
      </w:tr>
      <w:tr w:rsidR="0007222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</w:tr>
      <w:tr w:rsidR="0007222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</w:tr>
      <w:tr w:rsidR="00072226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07222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226" w:rsidRDefault="00B17DD4">
                  <w:r>
                    <w:rPr>
                      <w:color w:val="000000"/>
                      <w:sz w:val="28"/>
                      <w:szCs w:val="28"/>
                    </w:rPr>
                    <w:t>30 января 2023 г.</w:t>
                  </w:r>
                </w:p>
              </w:tc>
            </w:tr>
          </w:tbl>
          <w:p w:rsidR="00072226" w:rsidRDefault="00072226">
            <w:pPr>
              <w:spacing w:line="1" w:lineRule="auto"/>
            </w:pPr>
          </w:p>
        </w:tc>
      </w:tr>
    </w:tbl>
    <w:p w:rsidR="00072226" w:rsidRDefault="00072226">
      <w:pPr>
        <w:sectPr w:rsidR="00072226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072226" w:rsidRDefault="00072226">
      <w:pPr>
        <w:rPr>
          <w:vanish/>
        </w:rPr>
      </w:pPr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072226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  <w:tr w:rsidR="00072226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072226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072226" w:rsidRDefault="00072226">
      <w:pPr>
        <w:rPr>
          <w:vanish/>
        </w:rPr>
      </w:pPr>
      <w:bookmarkStart w:id="5" w:name="__bookmark_10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072226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072226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(принятие к учету)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первоначальной стоимости, дата принятия к учету. Учет находящихся в эксплуатации учреждения объектов основных средств стоимостью до 10 000 руб. включительно, осуществляется на забалансовом счете 21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N2 к Приказу Минфина РФ от 1 декабря 2010г. </w:t>
            </w:r>
            <w:r>
              <w:rPr>
                <w:color w:val="000000"/>
                <w:sz w:val="28"/>
                <w:szCs w:val="28"/>
              </w:rPr>
              <w:t>N157н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</w:t>
            </w:r>
            <w:r>
              <w:rPr>
                <w:color w:val="000000"/>
                <w:sz w:val="28"/>
                <w:szCs w:val="28"/>
              </w:rPr>
              <w:t>к, государственных (муниципальных) учреждений)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средства (принятие </w:t>
            </w:r>
            <w:r>
              <w:rPr>
                <w:color w:val="000000"/>
                <w:sz w:val="28"/>
                <w:szCs w:val="28"/>
              </w:rPr>
              <w:lastRenderedPageBreak/>
              <w:t>к учету)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объекты </w:t>
            </w:r>
            <w:r>
              <w:rPr>
                <w:color w:val="000000"/>
                <w:sz w:val="28"/>
                <w:szCs w:val="28"/>
              </w:rPr>
              <w:lastRenderedPageBreak/>
              <w:t>стоимостью свыше 100 000,00 рублей начисление амортизации производится линейным способом в последний день месяца. На объекты основных средств стоимостью от 10 000,00 до 100000,00 рублей включительно амортизация начисляется в размере 100% балансо</w:t>
            </w:r>
            <w:r>
              <w:rPr>
                <w:color w:val="000000"/>
                <w:sz w:val="28"/>
                <w:szCs w:val="28"/>
              </w:rPr>
              <w:t>вой стоимости при выдаче объекта в эксплуатацию. Амортизация не начисляется на объекты основных средств стоимостью до 10 000,00 рублей включительно.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lastRenderedPageBreak/>
              <w:t>N2 к Приказу Минфина РФ от 1 декабря 2010г. N157н (Инструкция по применению единого плана счетов</w:t>
            </w:r>
            <w:r>
              <w:rPr>
                <w:color w:val="000000"/>
                <w:sz w:val="28"/>
                <w:szCs w:val="28"/>
              </w:rPr>
      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учреждений)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</w:t>
            </w:r>
            <w:r>
              <w:rPr>
                <w:color w:val="000000"/>
                <w:sz w:val="28"/>
                <w:szCs w:val="28"/>
              </w:rPr>
              <w:t>риальные запасы (принятие к учету)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фактической стоимости материальных запасов, дата оприходования.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N2 к Приказу Минфина РФ от 1 декабря 2010г. N157н (Инструкция по </w:t>
            </w:r>
            <w:r>
              <w:rPr>
                <w:color w:val="000000"/>
                <w:sz w:val="28"/>
                <w:szCs w:val="28"/>
              </w:rPr>
              <w:lastRenderedPageBreak/>
              <w:t>применению единого плана счетов бухгалтерского учета для государств</w:t>
            </w:r>
            <w:r>
              <w:rPr>
                <w:color w:val="000000"/>
                <w:sz w:val="28"/>
                <w:szCs w:val="28"/>
              </w:rPr>
              <w:t>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учреждений)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 (списание, отпуск)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 материальных запасов.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N2 к Приказу Минфина РФ от 1 декабря 2010г. N157н (Инструкция по применению единого плана счетов бухгалтерского учета для государственн</w:t>
            </w:r>
            <w:r>
              <w:rPr>
                <w:color w:val="000000"/>
                <w:sz w:val="28"/>
                <w:szCs w:val="28"/>
              </w:rPr>
              <w:lastRenderedPageBreak/>
              <w:t>ых органов власти (государственных органов),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учреждений)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Вложения в 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фактическим затратам, дата возникновения зат</w:t>
            </w:r>
            <w:r>
              <w:rPr>
                <w:color w:val="000000"/>
                <w:sz w:val="28"/>
                <w:szCs w:val="28"/>
              </w:rPr>
              <w:t>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N2 к Приказу Минфина РФ от 1 декабря 2010г. N157н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самоуправления, органов управления государст</w:t>
            </w:r>
            <w:r>
              <w:rPr>
                <w:color w:val="000000"/>
                <w:sz w:val="28"/>
                <w:szCs w:val="28"/>
              </w:rPr>
              <w:t>венными внебюджетными фондами, государственных академий наук, государственных (муниципальных) учреждений).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Расчеты по принятым обязательствам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0 30200000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методу начисления, дата возникновения расходов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N2 к Приказу Минфина РФ от 1 декабря 2010г. N157н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</w:t>
            </w:r>
            <w:r>
              <w:rPr>
                <w:color w:val="000000"/>
                <w:sz w:val="28"/>
                <w:szCs w:val="28"/>
              </w:rPr>
              <w:t>ыми внебюджетны</w:t>
            </w:r>
            <w:r>
              <w:rPr>
                <w:color w:val="000000"/>
                <w:sz w:val="28"/>
                <w:szCs w:val="28"/>
              </w:rPr>
              <w:lastRenderedPageBreak/>
              <w:t>ми фондами, государственных академий наук, государственных (муниципальных) учреждений).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расчеты с кредиторами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0 30406000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учете расчетов с кредиторами по операциям, возникающим в ходе ведения деятельности учреждения и не предусмот</w:t>
            </w:r>
            <w:r>
              <w:rPr>
                <w:color w:val="000000"/>
                <w:sz w:val="28"/>
                <w:szCs w:val="28"/>
              </w:rPr>
              <w:t>ренных для отражения на иных счетах учета. При переносе расходов с КФО на КФО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N 2 к Приказу Минфина РФ от 16 декабря 2010 г. N 174н "Об утверждении Плана счетов бухгалтерского учета бюджетных учреждений и Инструкции по его применению". Учетная п</w:t>
            </w:r>
            <w:r>
              <w:rPr>
                <w:color w:val="000000"/>
                <w:sz w:val="28"/>
                <w:szCs w:val="28"/>
              </w:rPr>
              <w:t>олитика учреждения.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Операции по принятию учреждением обязательств (денежных обязательств) и их изменению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0 50200000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Суммы принятых бюджетным учреждением обязательств  на соответствующий финансовый год отражаются по кредиту соответствующих счетов аналитического учета счета 050201000 </w:t>
            </w:r>
            <w:r>
              <w:rPr>
                <w:color w:val="000000"/>
                <w:sz w:val="28"/>
                <w:szCs w:val="28"/>
              </w:rPr>
              <w:lastRenderedPageBreak/>
              <w:t>"Принятые обязательства" и дебету соответствующих счетов аналитического учета счета 05060</w:t>
            </w:r>
            <w:r>
              <w:rPr>
                <w:color w:val="000000"/>
                <w:sz w:val="28"/>
                <w:szCs w:val="28"/>
              </w:rPr>
              <w:t>0000 "Право на принятие обязательств"; суммы изменений обязательств учреждения, принятых в текущем финансовом году, отражаются по кредиту соответствующих счетов аналитического учета счета 050201000 "Принятые обязательства" и дебету соответствующих счетов а</w:t>
            </w:r>
            <w:r>
              <w:rPr>
                <w:color w:val="000000"/>
                <w:sz w:val="28"/>
                <w:szCs w:val="28"/>
              </w:rPr>
              <w:t xml:space="preserve">налитического учета счета 050600000 "Право на принятие обязательств". При этом сумма уменьшений принятых денежных обязательств отражается способом "Красное сторно"; сумма обязательств учреждения, по которым в соответствии с выполненными </w:t>
            </w:r>
            <w:r>
              <w:rPr>
                <w:color w:val="000000"/>
                <w:sz w:val="28"/>
                <w:szCs w:val="28"/>
              </w:rPr>
              <w:lastRenderedPageBreak/>
              <w:t>условиями гражданск</w:t>
            </w:r>
            <w:r>
              <w:rPr>
                <w:color w:val="000000"/>
                <w:sz w:val="28"/>
                <w:szCs w:val="28"/>
              </w:rPr>
              <w:t>о-правовой сделки, заключенной бюджетным учреждением  возникла обязанность бюджетного учреждения уплатить в соответствующем финансовом году юридическому лицу, бюджету бюджетной системы Российской Федерации, физическому лицу определенную сумму денежных сред</w:t>
            </w:r>
            <w:r>
              <w:rPr>
                <w:color w:val="000000"/>
                <w:sz w:val="28"/>
                <w:szCs w:val="28"/>
              </w:rPr>
              <w:t>ств (денежные обязательства), отражается по дебету соответствующих счетов аналитического учета счета 050201000 "Принятые обязательства" и кредиту соответствующих счетов аналитического учета счета 050202000 "Принятые денежные обязательства"; суммы изменений</w:t>
            </w:r>
            <w:r>
              <w:rPr>
                <w:color w:val="000000"/>
                <w:sz w:val="28"/>
                <w:szCs w:val="28"/>
              </w:rPr>
              <w:t xml:space="preserve"> объема денежных обязательств учреждения, принятых в текущем финансовом году, отражаются по </w:t>
            </w:r>
            <w:r>
              <w:rPr>
                <w:color w:val="000000"/>
                <w:sz w:val="28"/>
                <w:szCs w:val="28"/>
              </w:rPr>
              <w:lastRenderedPageBreak/>
              <w:t>кредиту соответствующих счетов аналитического учета счета 050201000 "Принятые обязательства" и кредиту соответствующих счетов аналитического учета счета 050202000 "</w:t>
            </w:r>
            <w:r>
              <w:rPr>
                <w:color w:val="000000"/>
                <w:sz w:val="28"/>
                <w:szCs w:val="28"/>
              </w:rPr>
              <w:t>Принятые денежные обязательства". При этом сумма уменьшений принятых денежных обязательств отражается способом "Красное сторно";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N2 к Приказу Минфина РФ от 1 декабря 2010г. N157н (Инструкция по применению единого плана счетов бухгалтерского учет</w:t>
            </w:r>
            <w:r>
              <w:rPr>
                <w:color w:val="000000"/>
                <w:sz w:val="28"/>
                <w:szCs w:val="28"/>
              </w:rPr>
              <w:t xml:space="preserve">а для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учреждений)</w:t>
            </w:r>
          </w:p>
        </w:tc>
      </w:tr>
      <w:tr w:rsidR="00072226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Право на принятие обязат</w:t>
            </w:r>
            <w:r>
              <w:rPr>
                <w:color w:val="000000"/>
                <w:sz w:val="28"/>
                <w:szCs w:val="28"/>
              </w:rPr>
              <w:t>ельств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0 50600000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расходов бюджетного учреждения, утвержденных планом финансово-хозяйственной деятельности учреждения на соответствующий финансовый год, отражаются по кредиту соответствующих счетов аналитического учета счета 050600000 "Право на приня</w:t>
            </w:r>
            <w:r>
              <w:rPr>
                <w:color w:val="000000"/>
                <w:sz w:val="28"/>
                <w:szCs w:val="28"/>
              </w:rPr>
              <w:t xml:space="preserve">тие обязательств" (050600200, 050600300, </w:t>
            </w:r>
            <w:r>
              <w:rPr>
                <w:color w:val="000000"/>
                <w:sz w:val="28"/>
                <w:szCs w:val="28"/>
              </w:rPr>
              <w:lastRenderedPageBreak/>
              <w:t>050600500, 050600800) и дебету соответствующих счетов аналитического учета счета 050400000 "Сметные (плановые) назначения". Суммы принятых учреждением обязательств на соответствующий финансовый год отражаются по деб</w:t>
            </w:r>
            <w:r>
              <w:rPr>
                <w:color w:val="000000"/>
                <w:sz w:val="28"/>
                <w:szCs w:val="28"/>
              </w:rPr>
              <w:t>ету соответствующих счетов аналитического учета счета 050600000 "Право на принятие обязательств" (050600200, 050600300, 050600500, 050600800) и кредиту соответствующих счетов аналитического учета счета 050201000 "Принятые обязательства"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N 2 к Пр</w:t>
            </w:r>
            <w:r>
              <w:rPr>
                <w:color w:val="000000"/>
                <w:sz w:val="28"/>
                <w:szCs w:val="28"/>
              </w:rPr>
              <w:t>иказу Минфина РФ от 16 декабря 2010 г. N 174н "Об утверждении Плана счетов бухгалтерского учета бюджетных учреждений и Инструкции по его применению"</w:t>
            </w:r>
          </w:p>
        </w:tc>
      </w:tr>
      <w:tr w:rsidR="00072226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B17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226" w:rsidRDefault="00072226">
            <w:pPr>
              <w:spacing w:line="1" w:lineRule="auto"/>
            </w:pPr>
          </w:p>
        </w:tc>
      </w:tr>
    </w:tbl>
    <w:p w:rsidR="00B17DD4" w:rsidRDefault="00B17DD4"/>
    <w:sectPr w:rsidR="00B17DD4" w:rsidSect="00072226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D4" w:rsidRDefault="00B17DD4" w:rsidP="00072226">
      <w:r>
        <w:separator/>
      </w:r>
    </w:p>
  </w:endnote>
  <w:endnote w:type="continuationSeparator" w:id="1">
    <w:p w:rsidR="00B17DD4" w:rsidRDefault="00B17DD4" w:rsidP="0007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72226">
      <w:tc>
        <w:tcPr>
          <w:tcW w:w="10421" w:type="dxa"/>
        </w:tcPr>
        <w:p w:rsidR="00072226" w:rsidRDefault="00072226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72226">
      <w:tc>
        <w:tcPr>
          <w:tcW w:w="10421" w:type="dxa"/>
        </w:tcPr>
        <w:p w:rsidR="00072226" w:rsidRDefault="0007222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D4" w:rsidRDefault="00B17DD4" w:rsidP="00072226">
      <w:r>
        <w:separator/>
      </w:r>
    </w:p>
  </w:footnote>
  <w:footnote w:type="continuationSeparator" w:id="1">
    <w:p w:rsidR="00B17DD4" w:rsidRDefault="00B17DD4" w:rsidP="0007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72226">
      <w:tc>
        <w:tcPr>
          <w:tcW w:w="10421" w:type="dxa"/>
        </w:tcPr>
        <w:p w:rsidR="00072226" w:rsidRDefault="00072226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072226">
      <w:tc>
        <w:tcPr>
          <w:tcW w:w="10421" w:type="dxa"/>
        </w:tcPr>
        <w:p w:rsidR="00072226" w:rsidRDefault="0007222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226"/>
    <w:rsid w:val="00072226"/>
    <w:rsid w:val="00833C19"/>
    <w:rsid w:val="00B1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72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2623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2023-03-14T12:18:00Z</dcterms:created>
  <dcterms:modified xsi:type="dcterms:W3CDTF">2023-03-14T12:18:00Z</dcterms:modified>
</cp:coreProperties>
</file>